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2881"/>
        <w:tblW w:w="0" w:type="auto"/>
        <w:tblLook w:val="04A0"/>
      </w:tblPr>
      <w:tblGrid>
        <w:gridCol w:w="817"/>
        <w:gridCol w:w="2268"/>
        <w:gridCol w:w="1985"/>
        <w:gridCol w:w="1275"/>
        <w:gridCol w:w="1418"/>
        <w:gridCol w:w="5386"/>
        <w:gridCol w:w="993"/>
      </w:tblGrid>
      <w:tr w:rsidR="00335678" w:rsidRPr="009710EE" w:rsidTr="00335678">
        <w:tc>
          <w:tcPr>
            <w:tcW w:w="817" w:type="dxa"/>
            <w:vAlign w:val="center"/>
          </w:tcPr>
          <w:p w:rsidR="00335678" w:rsidRPr="006647C2" w:rsidRDefault="00335678" w:rsidP="00335678">
            <w:pPr>
              <w:widowControl/>
              <w:snapToGrid w:val="0"/>
              <w:spacing w:line="560" w:lineRule="atLeast"/>
              <w:jc w:val="center"/>
              <w:outlineLvl w:val="0"/>
              <w:rPr>
                <w:rFonts w:ascii="仿宋" w:eastAsia="仿宋" w:hAnsi="仿宋" w:cs="宋体"/>
                <w:b/>
                <w:kern w:val="0"/>
                <w:sz w:val="24"/>
                <w:szCs w:val="24"/>
              </w:rPr>
            </w:pPr>
            <w:r w:rsidRPr="006647C2">
              <w:rPr>
                <w:rFonts w:ascii="仿宋" w:eastAsia="仿宋" w:hAnsi="仿宋" w:cs="宋体" w:hint="eastAsia"/>
                <w:b/>
                <w:kern w:val="0"/>
                <w:sz w:val="24"/>
                <w:szCs w:val="24"/>
              </w:rPr>
              <w:t>序号</w:t>
            </w:r>
          </w:p>
        </w:tc>
        <w:tc>
          <w:tcPr>
            <w:tcW w:w="2268" w:type="dxa"/>
            <w:vAlign w:val="center"/>
          </w:tcPr>
          <w:p w:rsidR="00335678" w:rsidRPr="009710EE" w:rsidRDefault="00335678" w:rsidP="00335678">
            <w:pPr>
              <w:widowControl/>
              <w:snapToGrid w:val="0"/>
              <w:spacing w:line="560" w:lineRule="atLeast"/>
              <w:jc w:val="center"/>
              <w:outlineLvl w:val="0"/>
              <w:rPr>
                <w:rFonts w:ascii="仿宋" w:eastAsia="仿宋" w:hAnsi="仿宋" w:cs="宋体"/>
                <w:b/>
                <w:kern w:val="0"/>
                <w:sz w:val="24"/>
                <w:szCs w:val="24"/>
              </w:rPr>
            </w:pPr>
            <w:r w:rsidRPr="009710EE">
              <w:rPr>
                <w:rFonts w:ascii="仿宋" w:eastAsia="仿宋" w:hAnsi="仿宋" w:cs="宋体" w:hint="eastAsia"/>
                <w:b/>
                <w:kern w:val="0"/>
                <w:sz w:val="24"/>
                <w:szCs w:val="24"/>
              </w:rPr>
              <w:t>项目名称</w:t>
            </w:r>
          </w:p>
        </w:tc>
        <w:tc>
          <w:tcPr>
            <w:tcW w:w="1985" w:type="dxa"/>
            <w:vAlign w:val="center"/>
          </w:tcPr>
          <w:p w:rsidR="00335678" w:rsidRPr="009710EE" w:rsidRDefault="00335678"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选派专业</w:t>
            </w:r>
          </w:p>
        </w:tc>
        <w:tc>
          <w:tcPr>
            <w:tcW w:w="1275" w:type="dxa"/>
            <w:vAlign w:val="center"/>
          </w:tcPr>
          <w:p w:rsidR="00335678" w:rsidRPr="009710EE" w:rsidRDefault="00335678"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选派年级</w:t>
            </w:r>
          </w:p>
        </w:tc>
        <w:tc>
          <w:tcPr>
            <w:tcW w:w="1418" w:type="dxa"/>
            <w:vAlign w:val="center"/>
          </w:tcPr>
          <w:p w:rsidR="00335678" w:rsidRPr="009710EE" w:rsidRDefault="00335678"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留学时间</w:t>
            </w:r>
          </w:p>
        </w:tc>
        <w:tc>
          <w:tcPr>
            <w:tcW w:w="5386" w:type="dxa"/>
            <w:vAlign w:val="center"/>
          </w:tcPr>
          <w:p w:rsidR="00335678" w:rsidRPr="009710EE" w:rsidRDefault="00335678"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费用</w:t>
            </w:r>
          </w:p>
        </w:tc>
        <w:tc>
          <w:tcPr>
            <w:tcW w:w="993" w:type="dxa"/>
          </w:tcPr>
          <w:p w:rsidR="00335678" w:rsidRPr="009710EE" w:rsidRDefault="00335678" w:rsidP="00335678">
            <w:pPr>
              <w:widowControl/>
              <w:snapToGrid w:val="0"/>
              <w:spacing w:line="560" w:lineRule="atLeast"/>
              <w:jc w:val="left"/>
              <w:outlineLvl w:val="0"/>
              <w:rPr>
                <w:rFonts w:ascii="仿宋" w:eastAsia="仿宋" w:hAnsi="仿宋" w:cs="宋体"/>
                <w:b/>
                <w:kern w:val="0"/>
                <w:sz w:val="24"/>
                <w:szCs w:val="24"/>
              </w:rPr>
            </w:pPr>
            <w:r>
              <w:rPr>
                <w:rFonts w:ascii="仿宋" w:eastAsia="仿宋" w:hAnsi="仿宋" w:cs="宋体" w:hint="eastAsia"/>
                <w:b/>
                <w:kern w:val="0"/>
                <w:sz w:val="24"/>
                <w:szCs w:val="24"/>
              </w:rPr>
              <w:t>规模</w:t>
            </w:r>
          </w:p>
        </w:tc>
      </w:tr>
      <w:tr w:rsidR="00335678" w:rsidRPr="009710EE" w:rsidTr="00335678">
        <w:tc>
          <w:tcPr>
            <w:tcW w:w="817"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1</w:t>
            </w:r>
          </w:p>
        </w:tc>
        <w:tc>
          <w:tcPr>
            <w:tcW w:w="226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海南大学与马来西亚马来亚大学法科优秀本科生国际交流项目</w:t>
            </w:r>
          </w:p>
        </w:tc>
        <w:tc>
          <w:tcPr>
            <w:tcW w:w="198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法学</w:t>
            </w:r>
          </w:p>
        </w:tc>
        <w:tc>
          <w:tcPr>
            <w:tcW w:w="127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2015、2016和2017级本科生</w:t>
            </w:r>
          </w:p>
        </w:tc>
        <w:tc>
          <w:tcPr>
            <w:tcW w:w="141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6个月</w:t>
            </w:r>
          </w:p>
        </w:tc>
        <w:tc>
          <w:tcPr>
            <w:tcW w:w="5386"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学期间的奖学金生活费。根据两校学生交换协议，马来亚大学免除我校学生学费，学生需向马来亚大学缴纳宿舍费、注册费、保险费和体检费用共约2829马来西亚吉林特，以上杂费和其他费用由学生本人承担。</w:t>
            </w:r>
          </w:p>
        </w:tc>
        <w:tc>
          <w:tcPr>
            <w:tcW w:w="993"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5人</w:t>
            </w:r>
          </w:p>
        </w:tc>
      </w:tr>
      <w:tr w:rsidR="00335678" w:rsidRPr="009710EE" w:rsidTr="00335678">
        <w:tc>
          <w:tcPr>
            <w:tcW w:w="817"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w:t>
            </w:r>
          </w:p>
        </w:tc>
        <w:tc>
          <w:tcPr>
            <w:tcW w:w="226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海南大学与新加坡南洋理工大学信息科学类优秀本科生交流项目</w:t>
            </w:r>
          </w:p>
        </w:tc>
        <w:tc>
          <w:tcPr>
            <w:tcW w:w="198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数学与应用数学；电子信息工程；计算机科学与技术；网络工程</w:t>
            </w:r>
          </w:p>
        </w:tc>
        <w:tc>
          <w:tcPr>
            <w:tcW w:w="127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2015、2016和2017级本科生</w:t>
            </w:r>
          </w:p>
        </w:tc>
        <w:tc>
          <w:tcPr>
            <w:tcW w:w="141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6个月</w:t>
            </w:r>
          </w:p>
        </w:tc>
        <w:tc>
          <w:tcPr>
            <w:tcW w:w="5386"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学期间的奖学金生活费。根据两校学生交换实际情况，南洋理工大学免除我校部分学生学费，所有学生需向南洋理工大学缴纳宿舍费，向新加坡移民局缴纳签证费、学生准证发行费、手续费用共120新币，以上杂费和其他费用由学生本人承担。</w:t>
            </w:r>
          </w:p>
        </w:tc>
        <w:tc>
          <w:tcPr>
            <w:tcW w:w="993"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5人</w:t>
            </w:r>
          </w:p>
        </w:tc>
      </w:tr>
      <w:tr w:rsidR="00335678" w:rsidRPr="009710EE" w:rsidTr="00335678">
        <w:tc>
          <w:tcPr>
            <w:tcW w:w="817"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3</w:t>
            </w:r>
          </w:p>
        </w:tc>
        <w:tc>
          <w:tcPr>
            <w:tcW w:w="226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海南大学与美国夏</w:t>
            </w:r>
            <w:r w:rsidRPr="000E7EE7">
              <w:rPr>
                <w:rFonts w:ascii="仿宋" w:eastAsia="仿宋" w:hAnsi="仿宋" w:cs="宋体" w:hint="eastAsia"/>
                <w:kern w:val="0"/>
                <w:sz w:val="24"/>
                <w:szCs w:val="24"/>
              </w:rPr>
              <w:lastRenderedPageBreak/>
              <w:t>威夷大学希洛分校植物与环境学科优秀本科生国际交流项目</w:t>
            </w:r>
          </w:p>
        </w:tc>
        <w:tc>
          <w:tcPr>
            <w:tcW w:w="198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lastRenderedPageBreak/>
              <w:t>农业资源与环</w:t>
            </w:r>
            <w:r w:rsidRPr="000E7EE7">
              <w:rPr>
                <w:rFonts w:ascii="仿宋" w:eastAsia="仿宋" w:hAnsi="仿宋" w:cs="宋体" w:hint="eastAsia"/>
                <w:kern w:val="0"/>
                <w:sz w:val="24"/>
                <w:szCs w:val="24"/>
              </w:rPr>
              <w:lastRenderedPageBreak/>
              <w:t>境；植物保护；园艺；设施农业科学；环境科学；农药与农产品质量安全</w:t>
            </w:r>
          </w:p>
        </w:tc>
        <w:tc>
          <w:tcPr>
            <w:tcW w:w="127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lastRenderedPageBreak/>
              <w:t>2016和</w:t>
            </w:r>
            <w:r w:rsidRPr="000E7EE7">
              <w:rPr>
                <w:rFonts w:ascii="仿宋" w:eastAsia="仿宋" w:hAnsi="仿宋" w:cs="宋体" w:hint="eastAsia"/>
                <w:kern w:val="0"/>
                <w:sz w:val="24"/>
                <w:szCs w:val="24"/>
              </w:rPr>
              <w:lastRenderedPageBreak/>
              <w:t>2017级本科生</w:t>
            </w:r>
          </w:p>
        </w:tc>
        <w:tc>
          <w:tcPr>
            <w:tcW w:w="141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lastRenderedPageBreak/>
              <w:t>12个月</w:t>
            </w:r>
          </w:p>
        </w:tc>
        <w:tc>
          <w:tcPr>
            <w:tcW w:w="5386"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w:t>
            </w:r>
            <w:r w:rsidRPr="000E7EE7">
              <w:rPr>
                <w:rFonts w:ascii="仿宋" w:eastAsia="仿宋" w:hAnsi="仿宋" w:cs="宋体" w:hint="eastAsia"/>
                <w:kern w:val="0"/>
                <w:sz w:val="24"/>
                <w:szCs w:val="24"/>
              </w:rPr>
              <w:lastRenderedPageBreak/>
              <w:t>学期间的奖学金生活费。学生需向夏威夷大学希洛分校缴纳学费、宿舍费、注册费、保险费和体检费等费用。</w:t>
            </w:r>
          </w:p>
        </w:tc>
        <w:tc>
          <w:tcPr>
            <w:tcW w:w="993"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lastRenderedPageBreak/>
              <w:t>2人</w:t>
            </w:r>
          </w:p>
        </w:tc>
      </w:tr>
      <w:tr w:rsidR="00335678" w:rsidRPr="009710EE" w:rsidTr="00335678">
        <w:tc>
          <w:tcPr>
            <w:tcW w:w="817"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lastRenderedPageBreak/>
              <w:t>4</w:t>
            </w:r>
          </w:p>
        </w:tc>
        <w:tc>
          <w:tcPr>
            <w:tcW w:w="226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海南大学与查理达尔文大学新媒体类优秀本科生国际交流项目</w:t>
            </w:r>
          </w:p>
        </w:tc>
        <w:tc>
          <w:tcPr>
            <w:tcW w:w="198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传播学；</w:t>
            </w:r>
          </w:p>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视觉传达设计</w:t>
            </w:r>
          </w:p>
        </w:tc>
        <w:tc>
          <w:tcPr>
            <w:tcW w:w="1275"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2016和2017级本科生</w:t>
            </w:r>
          </w:p>
        </w:tc>
        <w:tc>
          <w:tcPr>
            <w:tcW w:w="1418"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12个月</w:t>
            </w:r>
          </w:p>
        </w:tc>
        <w:tc>
          <w:tcPr>
            <w:tcW w:w="5386"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国家留学基金委资助一次往返国际旅费和规定留学期间的奖学金生活费。根据两校学生交换协议，查理达尔文大学免除我校学生学费，学生需向查理达尔文大学缴纳学费、宿舍费、注册费、保险费和体检费用</w:t>
            </w:r>
            <w:r w:rsidR="00A55BCB">
              <w:rPr>
                <w:rFonts w:ascii="仿宋" w:eastAsia="仿宋" w:hAnsi="仿宋" w:cs="宋体" w:hint="eastAsia"/>
                <w:kern w:val="0"/>
                <w:sz w:val="24"/>
                <w:szCs w:val="24"/>
              </w:rPr>
              <w:t>约</w:t>
            </w:r>
            <w:r w:rsidRPr="000E7EE7">
              <w:rPr>
                <w:rFonts w:ascii="仿宋" w:eastAsia="仿宋" w:hAnsi="仿宋" w:cs="宋体" w:hint="eastAsia"/>
                <w:kern w:val="0"/>
                <w:sz w:val="24"/>
                <w:szCs w:val="24"/>
              </w:rPr>
              <w:t>1900澳币/年 ，以上费用和其他费用均由学生本人承担。</w:t>
            </w:r>
          </w:p>
        </w:tc>
        <w:tc>
          <w:tcPr>
            <w:tcW w:w="993" w:type="dxa"/>
            <w:vAlign w:val="center"/>
          </w:tcPr>
          <w:p w:rsidR="00335678" w:rsidRPr="000E7EE7" w:rsidRDefault="00335678"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1人</w:t>
            </w:r>
          </w:p>
        </w:tc>
      </w:tr>
    </w:tbl>
    <w:p w:rsidR="00335678" w:rsidRDefault="00335678" w:rsidP="00335678">
      <w:pPr>
        <w:rPr>
          <w:rFonts w:hint="eastAsia"/>
        </w:rPr>
      </w:pPr>
    </w:p>
    <w:p w:rsidR="00335678" w:rsidRPr="0010385A" w:rsidRDefault="00B31880" w:rsidP="00335678">
      <w:pPr>
        <w:rPr>
          <w:rFonts w:ascii="仿宋" w:eastAsia="仿宋" w:hAnsi="仿宋"/>
          <w:sz w:val="24"/>
          <w:szCs w:val="24"/>
        </w:rPr>
      </w:pPr>
      <w:r w:rsidRPr="0010385A">
        <w:rPr>
          <w:rFonts w:ascii="仿宋" w:eastAsia="仿宋" w:hAnsi="仿宋" w:hint="eastAsia"/>
          <w:sz w:val="24"/>
          <w:szCs w:val="24"/>
        </w:rPr>
        <w:t>注：本表内的专业名称是国家留学基金委系统中的名称，与我校专业名称有部分出入。</w:t>
      </w:r>
    </w:p>
    <w:sectPr w:rsidR="00335678" w:rsidRPr="0010385A" w:rsidSect="006D25E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45C" w:rsidRDefault="00F6045C" w:rsidP="00335678">
      <w:r>
        <w:separator/>
      </w:r>
    </w:p>
  </w:endnote>
  <w:endnote w:type="continuationSeparator" w:id="1">
    <w:p w:rsidR="00F6045C" w:rsidRDefault="00F6045C" w:rsidP="00335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45C" w:rsidRDefault="00F6045C" w:rsidP="00335678">
      <w:r>
        <w:separator/>
      </w:r>
    </w:p>
  </w:footnote>
  <w:footnote w:type="continuationSeparator" w:id="1">
    <w:p w:rsidR="00F6045C" w:rsidRDefault="00F6045C" w:rsidP="00335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5E5"/>
    <w:rsid w:val="000D69B4"/>
    <w:rsid w:val="0010385A"/>
    <w:rsid w:val="00180093"/>
    <w:rsid w:val="0027447D"/>
    <w:rsid w:val="002A583B"/>
    <w:rsid w:val="00335678"/>
    <w:rsid w:val="00481EFD"/>
    <w:rsid w:val="005852B5"/>
    <w:rsid w:val="0061073A"/>
    <w:rsid w:val="006D25E5"/>
    <w:rsid w:val="009E2E98"/>
    <w:rsid w:val="00A55BCB"/>
    <w:rsid w:val="00B31880"/>
    <w:rsid w:val="00B97B5E"/>
    <w:rsid w:val="00C22539"/>
    <w:rsid w:val="00C6052D"/>
    <w:rsid w:val="00C917DE"/>
    <w:rsid w:val="00D81921"/>
    <w:rsid w:val="00F60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27447D"/>
    <w:pPr>
      <w:spacing w:line="620" w:lineRule="exact"/>
      <w:jc w:val="center"/>
    </w:pPr>
    <w:rPr>
      <w:rFonts w:ascii="方正小标宋简体" w:eastAsia="方正小标宋简体"/>
      <w:sz w:val="44"/>
      <w:szCs w:val="44"/>
    </w:rPr>
  </w:style>
  <w:style w:type="character" w:customStyle="1" w:styleId="1Char">
    <w:name w:val="样式1 Char"/>
    <w:basedOn w:val="a0"/>
    <w:link w:val="1"/>
    <w:rsid w:val="0027447D"/>
    <w:rPr>
      <w:rFonts w:ascii="方正小标宋简体" w:eastAsia="方正小标宋简体"/>
      <w:kern w:val="2"/>
      <w:sz w:val="44"/>
      <w:szCs w:val="44"/>
    </w:rPr>
  </w:style>
  <w:style w:type="paragraph" w:customStyle="1" w:styleId="2">
    <w:name w:val="样式2"/>
    <w:basedOn w:val="a"/>
    <w:link w:val="2Char"/>
    <w:qFormat/>
    <w:rsid w:val="0027447D"/>
    <w:pPr>
      <w:spacing w:line="480" w:lineRule="auto"/>
      <w:ind w:firstLine="570"/>
    </w:pPr>
    <w:rPr>
      <w:rFonts w:ascii="仿宋_GB2312" w:eastAsia="仿宋_GB2312" w:hAnsi="宋体"/>
      <w:sz w:val="32"/>
      <w:szCs w:val="32"/>
    </w:rPr>
  </w:style>
  <w:style w:type="character" w:customStyle="1" w:styleId="2Char">
    <w:name w:val="样式2 Char"/>
    <w:basedOn w:val="a0"/>
    <w:link w:val="2"/>
    <w:rsid w:val="0027447D"/>
    <w:rPr>
      <w:rFonts w:ascii="仿宋_GB2312" w:eastAsia="仿宋_GB2312" w:hAnsi="宋体"/>
      <w:kern w:val="2"/>
      <w:sz w:val="32"/>
      <w:szCs w:val="32"/>
    </w:rPr>
  </w:style>
  <w:style w:type="paragraph" w:customStyle="1" w:styleId="3">
    <w:name w:val="样式3"/>
    <w:basedOn w:val="a"/>
    <w:link w:val="3Char"/>
    <w:qFormat/>
    <w:rsid w:val="0027447D"/>
    <w:pPr>
      <w:spacing w:line="480" w:lineRule="auto"/>
      <w:ind w:right="1280" w:firstLine="570"/>
      <w:jc w:val="center"/>
    </w:pPr>
    <w:rPr>
      <w:rFonts w:ascii="仿宋_GB2312" w:eastAsia="仿宋_GB2312" w:hAnsi="宋体"/>
      <w:sz w:val="32"/>
      <w:szCs w:val="32"/>
    </w:rPr>
  </w:style>
  <w:style w:type="character" w:customStyle="1" w:styleId="3Char">
    <w:name w:val="样式3 Char"/>
    <w:basedOn w:val="a0"/>
    <w:link w:val="3"/>
    <w:rsid w:val="0027447D"/>
    <w:rPr>
      <w:rFonts w:ascii="仿宋_GB2312" w:eastAsia="仿宋_GB2312" w:hAnsi="宋体"/>
      <w:kern w:val="2"/>
      <w:sz w:val="32"/>
      <w:szCs w:val="32"/>
    </w:rPr>
  </w:style>
  <w:style w:type="table" w:styleId="a3">
    <w:name w:val="Table Grid"/>
    <w:basedOn w:val="a1"/>
    <w:uiPriority w:val="59"/>
    <w:rsid w:val="006D25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35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678"/>
    <w:rPr>
      <w:sz w:val="18"/>
      <w:szCs w:val="18"/>
    </w:rPr>
  </w:style>
  <w:style w:type="paragraph" w:styleId="a5">
    <w:name w:val="footer"/>
    <w:basedOn w:val="a"/>
    <w:link w:val="Char0"/>
    <w:uiPriority w:val="99"/>
    <w:semiHidden/>
    <w:unhideWhenUsed/>
    <w:rsid w:val="0033567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678"/>
    <w:rPr>
      <w:sz w:val="18"/>
      <w:szCs w:val="18"/>
    </w:rPr>
  </w:style>
  <w:style w:type="paragraph" w:styleId="a6">
    <w:name w:val="List Paragraph"/>
    <w:basedOn w:val="a"/>
    <w:uiPriority w:val="34"/>
    <w:qFormat/>
    <w:rsid w:val="003356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122</Words>
  <Characters>696</Characters>
  <Application>Microsoft Office Word</Application>
  <DocSecurity>0</DocSecurity>
  <Lines>5</Lines>
  <Paragraphs>1</Paragraphs>
  <ScaleCrop>false</ScaleCrop>
  <Company>Hewlett-Packard Company</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徐亚星</dc:creator>
  <cp:lastModifiedBy>徐亚星</cp:lastModifiedBy>
  <cp:revision>6</cp:revision>
  <dcterms:created xsi:type="dcterms:W3CDTF">2018-03-05T03:57:00Z</dcterms:created>
  <dcterms:modified xsi:type="dcterms:W3CDTF">2018-03-06T07:57:00Z</dcterms:modified>
</cp:coreProperties>
</file>